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64042F4B" w:rsidR="00C86989" w:rsidRPr="007C6B53" w:rsidRDefault="00DF2A2C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MONITORING ORDER</w:t>
      </w:r>
      <w:r w:rsidR="00AC0001">
        <w:rPr>
          <w:rFonts w:asciiTheme="minorHAnsi" w:hAnsiTheme="minorHAnsi" w:cs="Calibri"/>
          <w:b/>
          <w:bCs/>
          <w:sz w:val="28"/>
        </w:rPr>
        <w:t xml:space="preserve"> – SERIOUS AND ORGANISED CRIME (UNEXPLAINED WEALTH) ACT 2009</w:t>
      </w:r>
    </w:p>
    <w:p w14:paraId="0A0D25D6" w14:textId="3E107952" w:rsidR="00C86989" w:rsidRPr="00DA7361" w:rsidRDefault="008F11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</w:rPr>
      </w:pPr>
      <w:r w:rsidRPr="00DA7361">
        <w:rPr>
          <w:rFonts w:asciiTheme="minorHAnsi" w:hAnsiTheme="minorHAnsi" w:cs="Calibri"/>
          <w:b/>
          <w:bCs/>
          <w:iCs/>
        </w:rPr>
        <w:t>Serious and Organised Crime (Unexplained Wealth) Act 2009</w:t>
      </w:r>
    </w:p>
    <w:p w14:paraId="6943AF1A" w14:textId="13A4B385" w:rsidR="00255120" w:rsidRPr="007C6B53" w:rsidRDefault="002E440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 w:rsidRPr="00FE25D0">
        <w:rPr>
          <w:rFonts w:cs="Calibri"/>
          <w:i/>
        </w:rPr>
        <w:t>SUPREME</w:t>
      </w:r>
      <w:r w:rsidRPr="00196426">
        <w:rPr>
          <w:rFonts w:cs="Calibri"/>
          <w:i/>
          <w:iCs/>
        </w:rPr>
        <w:t>/</w:t>
      </w:r>
      <w:r>
        <w:rPr>
          <w:rFonts w:cs="Calibri"/>
          <w:i/>
          <w:iCs/>
        </w:rPr>
        <w:t xml:space="preserve"> </w:t>
      </w:r>
      <w:r w:rsidRPr="00196426">
        <w:rPr>
          <w:rFonts w:cs="Calibri"/>
          <w:i/>
          <w:iCs/>
        </w:rPr>
        <w:t>DISTRICT/</w:t>
      </w:r>
      <w:r>
        <w:rPr>
          <w:rFonts w:cs="Calibri"/>
          <w:i/>
          <w:iCs/>
        </w:rPr>
        <w:t xml:space="preserve"> </w:t>
      </w:r>
      <w:r w:rsidRPr="00196426">
        <w:rPr>
          <w:rFonts w:cs="Calibri"/>
          <w:i/>
          <w:iCs/>
        </w:rPr>
        <w:t>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 </w:t>
      </w:r>
      <w:r w:rsidR="00863378">
        <w:rPr>
          <w:rFonts w:cs="Calibri"/>
          <w:b/>
          <w:sz w:val="12"/>
        </w:rPr>
        <w:t>Select</w:t>
      </w:r>
      <w:r w:rsidR="006F3BCC" w:rsidRPr="00255120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6A8138CB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F07195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7F5CA2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F5CA2">
        <w:rPr>
          <w:rFonts w:cs="Calibri"/>
          <w:b/>
        </w:rPr>
        <w:t>[</w:t>
      </w:r>
      <w:r w:rsidRPr="007F5CA2">
        <w:rPr>
          <w:rFonts w:cs="Calibri"/>
          <w:b/>
          <w:i/>
        </w:rPr>
        <w:t>FULL NAME</w:t>
      </w:r>
      <w:r w:rsidRPr="007F5CA2">
        <w:rPr>
          <w:rFonts w:cs="Calibri"/>
          <w:b/>
        </w:rPr>
        <w:t>]</w:t>
      </w:r>
    </w:p>
    <w:p w14:paraId="6567B067" w14:textId="56C5CC4D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F5CA2">
        <w:rPr>
          <w:rFonts w:cs="Calibri"/>
          <w:b/>
        </w:rPr>
        <w:t>Applicant</w:t>
      </w:r>
    </w:p>
    <w:p w14:paraId="22A7CA27" w14:textId="4C3875D7" w:rsidR="00255120" w:rsidRPr="007C6B53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bookmarkStart w:id="3" w:name="_Hlk169691304"/>
      <w:bookmarkEnd w:id="0"/>
      <w:bookmarkEnd w:id="1"/>
      <w:r w:rsidRPr="007C6B53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953ED5" w:rsidRPr="007C6B53" w14:paraId="7BD94FD0" w14:textId="77777777" w:rsidTr="005F396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7F6FC1A5" w:rsidR="00953ED5" w:rsidRPr="007C6B53" w:rsidRDefault="00143517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4" w:name="_Hlk53989401"/>
            <w:r>
              <w:rPr>
                <w:rFonts w:asciiTheme="minorHAnsi" w:hAnsiTheme="minorHAnsi" w:cs="Calibri"/>
                <w:b/>
              </w:rPr>
              <w:t>Deposit holder</w:t>
            </w:r>
            <w:r w:rsidR="00953ED5" w:rsidRPr="007C6B53">
              <w:rPr>
                <w:rFonts w:asciiTheme="minorHAnsi" w:hAnsiTheme="minorHAnsi" w:cs="Calibri"/>
                <w:b/>
              </w:rPr>
              <w:t xml:space="preserve"> the subject of this </w:t>
            </w:r>
            <w:r w:rsidR="00DF2A2C">
              <w:rPr>
                <w:rFonts w:asciiTheme="minorHAnsi" w:hAnsiTheme="minorHAnsi" w:cs="Calibri"/>
                <w:b/>
              </w:rPr>
              <w:t>order</w:t>
            </w:r>
          </w:p>
        </w:tc>
      </w:tr>
      <w:tr w:rsidR="00953ED5" w:rsidRPr="007C6B53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1FF79BEC" w:rsidR="00953ED5" w:rsidRPr="007C6B53" w:rsidRDefault="00C74483" w:rsidP="00953E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Deposit Holder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74D4E28" w14:textId="22662A37" w:rsidR="00953ED5" w:rsidRPr="007C6B53" w:rsidRDefault="002E4401" w:rsidP="002E4401">
            <w:pPr>
              <w:keepNext/>
              <w:tabs>
                <w:tab w:val="left" w:pos="166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953ED5" w:rsidRPr="007C6B53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3048731B" w:rsidR="00953ED5" w:rsidRPr="007C6B53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05B78E03" w14:textId="6674AF1E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Full Name</w:t>
            </w:r>
          </w:p>
        </w:tc>
      </w:tr>
      <w:tr w:rsidR="00865311" w:rsidRPr="007C6B53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256F09B6" w:rsidR="00865311" w:rsidRPr="007C6B53" w:rsidRDefault="00865311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 xml:space="preserve">Address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946E74E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</w:tr>
      <w:tr w:rsidR="00865311" w:rsidRPr="007C6B53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865311" w:rsidRPr="007C6B53" w:rsidRDefault="00865311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865311" w:rsidRPr="007C6B53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E7785B7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</w:tr>
      <w:tr w:rsidR="00865311" w:rsidRPr="007C6B53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865311" w:rsidRPr="007C6B53" w:rsidRDefault="00865311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865311" w:rsidRPr="007C6B53" w:rsidRDefault="00865311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865311" w:rsidRPr="007C6B53" w:rsidRDefault="00865311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865311" w:rsidRPr="007C6B53" w:rsidRDefault="00865311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865311" w:rsidRPr="007C6B53" w:rsidRDefault="00865311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Country</w:t>
            </w:r>
          </w:p>
        </w:tc>
      </w:tr>
      <w:bookmarkEnd w:id="4"/>
      <w:bookmarkEnd w:id="2"/>
    </w:tbl>
    <w:p w14:paraId="3CE2CD52" w14:textId="40939D21" w:rsidR="00CE3505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F2A2C" w:rsidRPr="00545935" w14:paraId="449DF8CD" w14:textId="77777777" w:rsidTr="00DF2A2C">
        <w:tc>
          <w:tcPr>
            <w:tcW w:w="5000" w:type="pct"/>
          </w:tcPr>
          <w:bookmarkEnd w:id="3"/>
          <w:p w14:paraId="4594AF5D" w14:textId="77777777" w:rsidR="00DF2A2C" w:rsidRPr="00C27A31" w:rsidRDefault="00DF2A2C" w:rsidP="007F5CA2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 w:rsidRPr="00C27A31">
              <w:rPr>
                <w:rFonts w:cs="Arial"/>
                <w:b/>
                <w:sz w:val="22"/>
              </w:rPr>
              <w:t>Introduction</w:t>
            </w:r>
          </w:p>
          <w:p w14:paraId="7418695C" w14:textId="77777777" w:rsidR="00DF2A2C" w:rsidRPr="00545935" w:rsidRDefault="00DF2A2C" w:rsidP="007F5CA2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678EE1CF" w14:textId="77777777" w:rsidR="00DF2A2C" w:rsidRPr="004E6630" w:rsidRDefault="00DF2A2C" w:rsidP="007F5CA2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6F79B7E9" w14:textId="77777777" w:rsidR="00DF2A2C" w:rsidRDefault="00DF2A2C" w:rsidP="007F5CA2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2B914D32" w14:textId="77777777" w:rsidR="00DF2A2C" w:rsidRPr="004E6630" w:rsidRDefault="00DF2A2C" w:rsidP="007F5CA2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004B5235" w14:textId="77777777" w:rsidR="00DF2A2C" w:rsidRPr="00545935" w:rsidRDefault="00DF2A2C" w:rsidP="007F5CA2">
            <w:pPr>
              <w:widowControl w:val="0"/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649D62F7" w14:textId="77777777" w:rsidR="00DF2A2C" w:rsidRPr="004E6630" w:rsidRDefault="00DF2A2C" w:rsidP="007F5CA2">
            <w:pPr>
              <w:widowControl w:val="0"/>
              <w:spacing w:after="120" w:line="276" w:lineRule="auto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04EA81EA" w14:textId="405BE9BA" w:rsidR="00DF2A2C" w:rsidRPr="004E6630" w:rsidRDefault="00DF2A2C" w:rsidP="007F5CA2">
            <w:pPr>
              <w:spacing w:before="240" w:after="12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="008A34C2" w:rsidRPr="008A34C2">
              <w:rPr>
                <w:rFonts w:eastAsia="Arial" w:cs="Arial"/>
                <w:i/>
                <w:iCs/>
              </w:rPr>
              <w:t>Presiding</w:t>
            </w:r>
            <w:r w:rsidRPr="00143517">
              <w:rPr>
                <w:rFonts w:eastAsia="Arial" w:cs="Arial"/>
                <w:i/>
                <w:iCs/>
              </w:rPr>
              <w:t xml:space="preserve"> </w:t>
            </w:r>
            <w:r w:rsidRPr="004E6630">
              <w:rPr>
                <w:rFonts w:eastAsia="Arial" w:cs="Arial"/>
                <w:i/>
              </w:rPr>
              <w:t>Officer</w:t>
            </w:r>
            <w:r w:rsidRPr="004E6630">
              <w:rPr>
                <w:rFonts w:eastAsia="Arial" w:cs="Arial"/>
              </w:rPr>
              <w:t>]</w:t>
            </w:r>
          </w:p>
          <w:p w14:paraId="3386AA40" w14:textId="77777777" w:rsidR="00DF2A2C" w:rsidRPr="004E6630" w:rsidRDefault="00DF2A2C" w:rsidP="007F5CA2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503E3496" w14:textId="77777777" w:rsidR="00DF2A2C" w:rsidRPr="004E6630" w:rsidRDefault="00DF2A2C" w:rsidP="007F5CA2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710BEABE" w14:textId="74E64349" w:rsidR="00DF2A2C" w:rsidRPr="004E6630" w:rsidRDefault="00DF2A2C" w:rsidP="007F5CA2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Recitals</w:t>
            </w:r>
          </w:p>
          <w:p w14:paraId="1AE5C3C0" w14:textId="2D953E8D" w:rsidR="00DF2A2C" w:rsidRPr="00DF2A2C" w:rsidRDefault="00DF2A2C" w:rsidP="007F5CA2">
            <w:pPr>
              <w:spacing w:before="120" w:line="276" w:lineRule="auto"/>
              <w:rPr>
                <w:rFonts w:eastAsia="Arial" w:cs="Arial"/>
              </w:rPr>
            </w:pPr>
            <w:r w:rsidRPr="00DF2A2C">
              <w:rPr>
                <w:rFonts w:eastAsia="Arial" w:cs="Arial"/>
              </w:rPr>
              <w:t xml:space="preserve">The </w:t>
            </w:r>
            <w:r w:rsidR="008A34C2">
              <w:rPr>
                <w:rFonts w:eastAsia="Arial" w:cs="Arial"/>
              </w:rPr>
              <w:t>Court</w:t>
            </w:r>
            <w:r w:rsidRPr="00DF2A2C">
              <w:rPr>
                <w:rFonts w:eastAsia="Arial" w:cs="Arial"/>
              </w:rPr>
              <w:t xml:space="preserve"> is satisfied that:</w:t>
            </w:r>
          </w:p>
          <w:p w14:paraId="301654BA" w14:textId="740EF7CD" w:rsidR="001613CC" w:rsidRPr="001613CC" w:rsidRDefault="001613CC" w:rsidP="007F5CA2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306" w:hanging="357"/>
              <w:contextualSpacing w:val="0"/>
              <w:rPr>
                <w:rFonts w:eastAsia="Arial" w:cs="Arial"/>
              </w:rPr>
            </w:pPr>
            <w:r w:rsidRPr="001613CC">
              <w:rPr>
                <w:rFonts w:eastAsia="Arial" w:cs="Arial"/>
              </w:rPr>
              <w:t xml:space="preserve">the transactions to which this </w:t>
            </w:r>
            <w:r>
              <w:rPr>
                <w:rFonts w:eastAsia="Arial" w:cs="Arial"/>
              </w:rPr>
              <w:t>o</w:t>
            </w:r>
            <w:r w:rsidRPr="001613CC">
              <w:rPr>
                <w:rFonts w:eastAsia="Arial" w:cs="Arial"/>
              </w:rPr>
              <w:t>rder relates are relevant to identifying, tracing, locating or valuing the wealth of [</w:t>
            </w:r>
            <w:r w:rsidRPr="001613CC">
              <w:rPr>
                <w:rFonts w:eastAsia="Arial" w:cs="Arial"/>
                <w:i/>
              </w:rPr>
              <w:t>full</w:t>
            </w:r>
            <w:r w:rsidR="00865311">
              <w:rPr>
                <w:rFonts w:eastAsia="Arial" w:cs="Arial"/>
                <w:i/>
              </w:rPr>
              <w:t> </w:t>
            </w:r>
            <w:r w:rsidRPr="001613CC">
              <w:rPr>
                <w:rFonts w:eastAsia="Arial" w:cs="Arial"/>
                <w:i/>
              </w:rPr>
              <w:t>name</w:t>
            </w:r>
            <w:r w:rsidRPr="001613CC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>.</w:t>
            </w:r>
          </w:p>
          <w:p w14:paraId="7139772D" w14:textId="0263DB2A" w:rsidR="00DF2A2C" w:rsidRPr="00DF2A2C" w:rsidRDefault="001613CC" w:rsidP="007F5CA2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306" w:hanging="357"/>
              <w:contextualSpacing w:val="0"/>
              <w:rPr>
                <w:rFonts w:eastAsia="Arial" w:cs="Arial"/>
              </w:rPr>
            </w:pPr>
            <w:r w:rsidRPr="001613CC">
              <w:rPr>
                <w:rFonts w:eastAsia="Arial" w:cs="Arial"/>
              </w:rPr>
              <w:t xml:space="preserve">there are proper grounds for making a </w:t>
            </w:r>
            <w:r>
              <w:rPr>
                <w:rFonts w:eastAsia="Arial" w:cs="Arial"/>
              </w:rPr>
              <w:t>M</w:t>
            </w:r>
            <w:r w:rsidRPr="001613CC">
              <w:rPr>
                <w:rFonts w:eastAsia="Arial" w:cs="Arial"/>
              </w:rPr>
              <w:t xml:space="preserve">onitoring </w:t>
            </w:r>
            <w:r>
              <w:rPr>
                <w:rFonts w:eastAsia="Arial" w:cs="Arial"/>
              </w:rPr>
              <w:t>O</w:t>
            </w:r>
            <w:r w:rsidRPr="001613CC">
              <w:rPr>
                <w:rFonts w:eastAsia="Arial" w:cs="Arial"/>
              </w:rPr>
              <w:t xml:space="preserve">rder under section 14 of the </w:t>
            </w:r>
            <w:r w:rsidRPr="001613CC">
              <w:rPr>
                <w:rFonts w:eastAsia="Arial" w:cs="Arial"/>
                <w:i/>
              </w:rPr>
              <w:t>Serious and Organised Crime (Unexplained Wealth) Act 2009</w:t>
            </w:r>
            <w:r>
              <w:rPr>
                <w:rFonts w:eastAsia="Arial" w:cs="Arial"/>
                <w:i/>
              </w:rPr>
              <w:t>.</w:t>
            </w:r>
          </w:p>
        </w:tc>
      </w:tr>
    </w:tbl>
    <w:p w14:paraId="79FFDDAA" w14:textId="67E7CB6D" w:rsidR="00DF2A2C" w:rsidRDefault="00DF2A2C" w:rsidP="007F5CA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F2A2C" w14:paraId="24D1E508" w14:textId="77777777" w:rsidTr="0095362F">
        <w:tc>
          <w:tcPr>
            <w:tcW w:w="5000" w:type="pct"/>
          </w:tcPr>
          <w:p w14:paraId="7EF5D96E" w14:textId="77777777" w:rsidR="00DF2A2C" w:rsidRPr="004128CB" w:rsidRDefault="00DF2A2C" w:rsidP="007F5CA2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4128CB">
              <w:rPr>
                <w:rFonts w:cs="Arial"/>
                <w:b/>
                <w:sz w:val="22"/>
              </w:rPr>
              <w:lastRenderedPageBreak/>
              <w:t>Order</w:t>
            </w:r>
          </w:p>
          <w:p w14:paraId="38A34973" w14:textId="77777777" w:rsidR="00DF2A2C" w:rsidRPr="004128CB" w:rsidRDefault="00DF2A2C" w:rsidP="007F5CA2">
            <w:pPr>
              <w:spacing w:before="240" w:after="240" w:line="276" w:lineRule="auto"/>
              <w:rPr>
                <w:rFonts w:cs="Arial"/>
              </w:rPr>
            </w:pPr>
            <w:r w:rsidRPr="004128CB">
              <w:rPr>
                <w:rFonts w:cs="Arial"/>
                <w:b/>
              </w:rPr>
              <w:t xml:space="preserve">Date of Order: </w:t>
            </w:r>
            <w:r w:rsidRPr="004128CB">
              <w:rPr>
                <w:rFonts w:cs="Arial"/>
              </w:rPr>
              <w:t>[</w:t>
            </w:r>
            <w:r w:rsidRPr="004128CB">
              <w:rPr>
                <w:rFonts w:cs="Arial"/>
                <w:i/>
              </w:rPr>
              <w:t>date</w:t>
            </w:r>
            <w:r w:rsidRPr="004128CB">
              <w:rPr>
                <w:rFonts w:cs="Arial"/>
              </w:rPr>
              <w:t>]</w:t>
            </w:r>
          </w:p>
          <w:p w14:paraId="6B458E53" w14:textId="4429C12E" w:rsidR="00DF2A2C" w:rsidRDefault="00C74483" w:rsidP="007F5CA2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Terms of </w:t>
            </w:r>
            <w:r w:rsidR="00DF2A2C" w:rsidRPr="004128CB">
              <w:rPr>
                <w:rFonts w:cs="Arial"/>
                <w:b/>
              </w:rPr>
              <w:t>Order</w:t>
            </w:r>
          </w:p>
          <w:p w14:paraId="3F67C303" w14:textId="6BC9ED26" w:rsidR="00DF2A2C" w:rsidRDefault="00DF2A2C" w:rsidP="007F5CA2">
            <w:pPr>
              <w:widowControl w:val="0"/>
              <w:spacing w:before="12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It is ordered that:</w:t>
            </w:r>
          </w:p>
          <w:p w14:paraId="1E7C9360" w14:textId="46ECE8A2" w:rsidR="00641C85" w:rsidRPr="00641C85" w:rsidRDefault="00641C85" w:rsidP="007F5CA2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448" w:hanging="357"/>
              <w:contextualSpacing w:val="0"/>
              <w:rPr>
                <w:rFonts w:cs="Arial"/>
              </w:rPr>
            </w:pPr>
            <w:r w:rsidRPr="00641C85">
              <w:rPr>
                <w:rFonts w:cs="Arial"/>
              </w:rPr>
              <w:t>The Deposit Holder, the subject to this order, must report as soon as practicable, [</w:t>
            </w:r>
            <w:r w:rsidRPr="00641C85">
              <w:rPr>
                <w:rFonts w:cs="Arial"/>
                <w:i/>
              </w:rPr>
              <w:t>description of transactions</w:t>
            </w:r>
            <w:r w:rsidRPr="00641C85">
              <w:rPr>
                <w:rFonts w:cs="Arial"/>
              </w:rPr>
              <w:t>].</w:t>
            </w:r>
          </w:p>
          <w:p w14:paraId="2C2E9C99" w14:textId="77777777" w:rsidR="00641C85" w:rsidRPr="00641C85" w:rsidRDefault="00641C85" w:rsidP="007F5CA2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48" w:hanging="357"/>
              <w:contextualSpacing w:val="0"/>
              <w:rPr>
                <w:rFonts w:cs="Arial"/>
              </w:rPr>
            </w:pPr>
            <w:r w:rsidRPr="00641C85">
              <w:rPr>
                <w:rFonts w:cs="Arial"/>
              </w:rPr>
              <w:t>The kind of information that the Deposit Holder is required to give about these transactions is [</w:t>
            </w:r>
            <w:r w:rsidRPr="00641C85">
              <w:rPr>
                <w:rFonts w:cs="Arial"/>
                <w:i/>
              </w:rPr>
              <w:t>description of information</w:t>
            </w:r>
            <w:r w:rsidRPr="00641C85">
              <w:rPr>
                <w:rFonts w:cs="Arial"/>
              </w:rPr>
              <w:t>].</w:t>
            </w:r>
          </w:p>
          <w:p w14:paraId="133A6171" w14:textId="77777777" w:rsidR="00641C85" w:rsidRPr="00641C85" w:rsidRDefault="00641C85" w:rsidP="007F5CA2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48" w:hanging="357"/>
              <w:contextualSpacing w:val="0"/>
              <w:rPr>
                <w:rFonts w:cs="Arial"/>
              </w:rPr>
            </w:pPr>
            <w:r w:rsidRPr="00641C85">
              <w:rPr>
                <w:rFonts w:cs="Arial"/>
              </w:rPr>
              <w:t>The form and manner in which this information is to be given is [</w:t>
            </w:r>
            <w:r w:rsidRPr="00641C85">
              <w:rPr>
                <w:rFonts w:cs="Arial"/>
                <w:i/>
              </w:rPr>
              <w:t>method of reporting</w:t>
            </w:r>
            <w:r w:rsidRPr="00641C85">
              <w:rPr>
                <w:rFonts w:cs="Arial"/>
              </w:rPr>
              <w:t>].</w:t>
            </w:r>
          </w:p>
          <w:p w14:paraId="41B8E6F2" w14:textId="6BE37D51" w:rsidR="00641C85" w:rsidRPr="00641C85" w:rsidRDefault="00641C85" w:rsidP="007F5CA2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48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641C85">
              <w:rPr>
                <w:rFonts w:cs="Arial"/>
              </w:rPr>
              <w:t>Deposit Holder must not disclose t</w:t>
            </w:r>
            <w:r w:rsidR="00992669">
              <w:rPr>
                <w:rFonts w:cs="Arial"/>
              </w:rPr>
              <w:t>he existence or nature of this o</w:t>
            </w:r>
            <w:r w:rsidRPr="00641C85">
              <w:rPr>
                <w:rFonts w:cs="Arial"/>
              </w:rPr>
              <w:t xml:space="preserve">rder, or disclose information to another person from which the other person could infer the existence or nature of this </w:t>
            </w:r>
            <w:r w:rsidR="00992669">
              <w:rPr>
                <w:rFonts w:cs="Arial"/>
              </w:rPr>
              <w:t>o</w:t>
            </w:r>
            <w:r w:rsidRPr="00641C85">
              <w:rPr>
                <w:rFonts w:cs="Arial"/>
              </w:rPr>
              <w:t>rder, except a disclosure that is:</w:t>
            </w:r>
          </w:p>
          <w:p w14:paraId="6D80A2E9" w14:textId="402DBAEB" w:rsidR="00641C85" w:rsidRPr="00992669" w:rsidRDefault="00992669" w:rsidP="007F5CA2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87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authorised by this o</w:t>
            </w:r>
            <w:r w:rsidR="00641C85" w:rsidRPr="00992669">
              <w:rPr>
                <w:rFonts w:cs="Arial"/>
              </w:rPr>
              <w:t>rder;</w:t>
            </w:r>
          </w:p>
          <w:p w14:paraId="7AF6AC0B" w14:textId="09E65043" w:rsidR="00641C85" w:rsidRPr="00992669" w:rsidRDefault="00992669" w:rsidP="007F5CA2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87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necessary to comply with this o</w:t>
            </w:r>
            <w:r w:rsidR="00641C85" w:rsidRPr="00992669">
              <w:rPr>
                <w:rFonts w:cs="Arial"/>
              </w:rPr>
              <w:t>rder;</w:t>
            </w:r>
          </w:p>
          <w:p w14:paraId="6433154F" w14:textId="52BA8D14" w:rsidR="00641C85" w:rsidRPr="00992669" w:rsidRDefault="00641C85" w:rsidP="007F5CA2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877"/>
              <w:contextualSpacing w:val="0"/>
              <w:rPr>
                <w:rFonts w:cs="Arial"/>
              </w:rPr>
            </w:pPr>
            <w:r w:rsidRPr="00992669">
              <w:rPr>
                <w:rFonts w:cs="Arial"/>
              </w:rPr>
              <w:t xml:space="preserve">made for the purpose of obtaining legal advice or legal representation in relation to this </w:t>
            </w:r>
            <w:r w:rsidR="00992669">
              <w:rPr>
                <w:rFonts w:cs="Arial"/>
              </w:rPr>
              <w:t>o</w:t>
            </w:r>
            <w:r w:rsidRPr="00992669">
              <w:rPr>
                <w:rFonts w:cs="Arial"/>
              </w:rPr>
              <w:t>rder; or</w:t>
            </w:r>
          </w:p>
          <w:p w14:paraId="459FF6F5" w14:textId="3C7A2EC4" w:rsidR="00DF2A2C" w:rsidRPr="00992669" w:rsidRDefault="00641C85" w:rsidP="007F5CA2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877"/>
              <w:contextualSpacing w:val="0"/>
              <w:rPr>
                <w:rFonts w:cs="Arial"/>
              </w:rPr>
            </w:pPr>
            <w:r w:rsidRPr="00992669">
              <w:rPr>
                <w:rFonts w:cs="Arial"/>
              </w:rPr>
              <w:t>made for the purposes of, or in the course of, legal proceedings.</w:t>
            </w:r>
          </w:p>
        </w:tc>
      </w:tr>
    </w:tbl>
    <w:p w14:paraId="4273FA6D" w14:textId="765AFBAA" w:rsidR="00DF2A2C" w:rsidRDefault="00DF2A2C" w:rsidP="007F5CA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F2A2C" w14:paraId="0F363419" w14:textId="77777777" w:rsidTr="0095362F">
        <w:tc>
          <w:tcPr>
            <w:tcW w:w="5000" w:type="pct"/>
          </w:tcPr>
          <w:p w14:paraId="2BD3EF5B" w14:textId="23FA386B" w:rsidR="00DF2A2C" w:rsidRDefault="00DF2A2C" w:rsidP="007F5CA2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 the </w:t>
            </w:r>
            <w:r w:rsidR="00405249">
              <w:rPr>
                <w:rFonts w:cs="Arial"/>
                <w:b/>
              </w:rPr>
              <w:t>Deposit Holder</w:t>
            </w:r>
            <w:r>
              <w:rPr>
                <w:rFonts w:cs="Arial"/>
                <w:b/>
              </w:rPr>
              <w:t>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  <w:b/>
              </w:rPr>
              <w:t>WARNING</w:t>
            </w:r>
          </w:p>
          <w:p w14:paraId="7144E6A3" w14:textId="0E985235" w:rsidR="00405249" w:rsidRPr="00405249" w:rsidRDefault="00405249" w:rsidP="007F5CA2">
            <w:pPr>
              <w:spacing w:before="240" w:line="276" w:lineRule="auto"/>
              <w:ind w:right="170"/>
              <w:rPr>
                <w:rFonts w:cs="Arial"/>
              </w:rPr>
            </w:pPr>
            <w:r w:rsidRPr="00405249">
              <w:rPr>
                <w:rFonts w:cs="Arial"/>
              </w:rPr>
              <w:t xml:space="preserve">If you disclose the existence or nature of this </w:t>
            </w:r>
            <w:r>
              <w:rPr>
                <w:rFonts w:cs="Arial"/>
              </w:rPr>
              <w:t>o</w:t>
            </w:r>
            <w:r w:rsidRPr="00405249">
              <w:rPr>
                <w:rFonts w:cs="Arial"/>
              </w:rPr>
              <w:t xml:space="preserve">rder to another person or disclose information to another person from which the other person could infer the existence or nature of this </w:t>
            </w:r>
            <w:r>
              <w:rPr>
                <w:rFonts w:cs="Arial"/>
              </w:rPr>
              <w:t>o</w:t>
            </w:r>
            <w:r w:rsidRPr="00405249">
              <w:rPr>
                <w:rFonts w:cs="Arial"/>
              </w:rPr>
              <w:t xml:space="preserve">rder, you will be guilty of an offence and may be liable for </w:t>
            </w:r>
            <w:r w:rsidRPr="00166D5C">
              <w:rPr>
                <w:rFonts w:cs="Arial"/>
                <w:iCs/>
              </w:rPr>
              <w:t>imprisonment</w:t>
            </w:r>
            <w:r w:rsidRPr="00405249">
              <w:rPr>
                <w:rFonts w:cs="Arial"/>
              </w:rPr>
              <w:t xml:space="preserve"> for 2 years or a </w:t>
            </w:r>
            <w:r w:rsidRPr="00166D5C">
              <w:rPr>
                <w:rFonts w:cs="Arial"/>
              </w:rPr>
              <w:t>$10,000</w:t>
            </w:r>
            <w:r w:rsidRPr="00405249">
              <w:rPr>
                <w:rFonts w:cs="Arial"/>
              </w:rPr>
              <w:t xml:space="preserve"> fine. </w:t>
            </w:r>
          </w:p>
          <w:p w14:paraId="7C922F86" w14:textId="7474D4E7" w:rsidR="00DF2A2C" w:rsidRPr="00405249" w:rsidRDefault="00405249" w:rsidP="007F5CA2">
            <w:pPr>
              <w:spacing w:before="240" w:after="120" w:line="276" w:lineRule="auto"/>
              <w:ind w:right="170"/>
              <w:rPr>
                <w:rFonts w:cs="Arial"/>
              </w:rPr>
            </w:pPr>
            <w:r w:rsidRPr="00405249">
              <w:rPr>
                <w:rFonts w:cs="Arial"/>
              </w:rPr>
              <w:t xml:space="preserve">If you otherwise fail to comply with this </w:t>
            </w:r>
            <w:r>
              <w:rPr>
                <w:rFonts w:cs="Arial"/>
              </w:rPr>
              <w:t>o</w:t>
            </w:r>
            <w:r w:rsidRPr="00405249">
              <w:rPr>
                <w:rFonts w:cs="Arial"/>
              </w:rPr>
              <w:t xml:space="preserve">rder, you will be guilty of an offence and may be liable for </w:t>
            </w:r>
            <w:r w:rsidRPr="000F03C3">
              <w:rPr>
                <w:rFonts w:cs="Arial"/>
                <w:i/>
                <w:iCs/>
              </w:rPr>
              <w:t>imprisonment</w:t>
            </w:r>
            <w:r w:rsidRPr="00405249">
              <w:rPr>
                <w:rFonts w:cs="Arial"/>
              </w:rPr>
              <w:t xml:space="preserve"> for 1 year or a </w:t>
            </w:r>
            <w:r w:rsidRPr="00166D5C">
              <w:rPr>
                <w:rFonts w:cs="Arial"/>
              </w:rPr>
              <w:t>$5,000</w:t>
            </w:r>
            <w:r w:rsidRPr="00405249">
              <w:rPr>
                <w:rFonts w:cs="Arial"/>
              </w:rPr>
              <w:t xml:space="preserve"> fine</w:t>
            </w:r>
            <w:r>
              <w:rPr>
                <w:rFonts w:cs="Arial"/>
              </w:rPr>
              <w:t>.</w:t>
            </w:r>
          </w:p>
        </w:tc>
      </w:tr>
    </w:tbl>
    <w:p w14:paraId="07E8D32C" w14:textId="77777777" w:rsidR="008C6B1F" w:rsidRPr="007C6B53" w:rsidRDefault="008C6B1F" w:rsidP="007F5CA2">
      <w:pPr>
        <w:spacing w:before="120" w:after="120" w:line="276" w:lineRule="auto"/>
        <w:rPr>
          <w:rFonts w:asciiTheme="minorHAnsi" w:hAnsiTheme="minorHAnsi" w:cs="Calibri"/>
        </w:rPr>
      </w:pPr>
      <w:bookmarkStart w:id="5" w:name="_Hlk38553874"/>
      <w:bookmarkStart w:id="6" w:name="_Hlk385571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44066176" w:rsidR="001260F5" w:rsidRPr="003F4EA0" w:rsidRDefault="000960FD" w:rsidP="007F5CA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7F5CA2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5F9C4AC8" w:rsidR="001260F5" w:rsidRPr="007C6B53" w:rsidRDefault="001260F5" w:rsidP="007F5CA2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>of</w:t>
            </w:r>
            <w:r w:rsidR="00CB694A">
              <w:rPr>
                <w:rFonts w:cs="Arial"/>
                <w:iCs/>
              </w:rPr>
              <w:t xml:space="preserve"> </w:t>
            </w:r>
            <w:r w:rsidR="005E6418">
              <w:rPr>
                <w:rFonts w:cs="Arial"/>
                <w:iCs/>
              </w:rPr>
              <w:t>Judge/Magistrate</w:t>
            </w:r>
          </w:p>
          <w:p w14:paraId="3622AD67" w14:textId="77777777" w:rsidR="001260F5" w:rsidRPr="007C6B53" w:rsidRDefault="001260F5" w:rsidP="007F5CA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663C29E5" w14:textId="71EAAB75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3433BD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D1031">
      <w:rPr>
        <w:lang w:val="en-US"/>
      </w:rPr>
      <w:t>10</w:t>
    </w:r>
    <w:r w:rsidR="00DA7361">
      <w:rPr>
        <w:lang w:val="en-US"/>
      </w:rPr>
      <w:t>4B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55AEB1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D1031">
      <w:rPr>
        <w:lang w:val="en-US"/>
      </w:rPr>
      <w:t>10</w:t>
    </w:r>
    <w:r w:rsidR="00DA7361">
      <w:rPr>
        <w:lang w:val="en-US"/>
      </w:rPr>
      <w:t>4B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C8DD59E" w:rsidR="00014224" w:rsidRPr="00A22F6E" w:rsidRDefault="00A22F6E" w:rsidP="00607F7A">
          <w:pPr>
            <w:pStyle w:val="Footer"/>
            <w:rPr>
              <w:b/>
              <w:sz w:val="16"/>
              <w:szCs w:val="16"/>
            </w:rPr>
          </w:pPr>
          <w:r w:rsidRPr="00A22F6E">
            <w:rPr>
              <w:b/>
              <w:sz w:val="16"/>
              <w:szCs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F4D"/>
    <w:multiLevelType w:val="hybridMultilevel"/>
    <w:tmpl w:val="02189078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42F64"/>
    <w:multiLevelType w:val="hybridMultilevel"/>
    <w:tmpl w:val="929CF2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5DC"/>
    <w:multiLevelType w:val="hybridMultilevel"/>
    <w:tmpl w:val="9AF2AAA6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C79EB"/>
    <w:multiLevelType w:val="hybridMultilevel"/>
    <w:tmpl w:val="0528293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A5A62"/>
    <w:multiLevelType w:val="hybridMultilevel"/>
    <w:tmpl w:val="26F28352"/>
    <w:lvl w:ilvl="0" w:tplc="BAFA7FAA">
      <w:start w:val="1"/>
      <w:numFmt w:val="lowerLetter"/>
      <w:lvlText w:val="(%1)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772942">
    <w:abstractNumId w:val="13"/>
  </w:num>
  <w:num w:numId="2" w16cid:durableId="793795415">
    <w:abstractNumId w:val="3"/>
  </w:num>
  <w:num w:numId="3" w16cid:durableId="428089193">
    <w:abstractNumId w:val="1"/>
  </w:num>
  <w:num w:numId="4" w16cid:durableId="1497695312">
    <w:abstractNumId w:val="4"/>
  </w:num>
  <w:num w:numId="5" w16cid:durableId="1884294150">
    <w:abstractNumId w:val="15"/>
  </w:num>
  <w:num w:numId="6" w16cid:durableId="965548849">
    <w:abstractNumId w:val="2"/>
  </w:num>
  <w:num w:numId="7" w16cid:durableId="1981882840">
    <w:abstractNumId w:val="8"/>
  </w:num>
  <w:num w:numId="8" w16cid:durableId="1023287912">
    <w:abstractNumId w:val="6"/>
  </w:num>
  <w:num w:numId="9" w16cid:durableId="883441419">
    <w:abstractNumId w:val="16"/>
  </w:num>
  <w:num w:numId="10" w16cid:durableId="98768572">
    <w:abstractNumId w:val="12"/>
  </w:num>
  <w:num w:numId="11" w16cid:durableId="1253276219">
    <w:abstractNumId w:val="10"/>
  </w:num>
  <w:num w:numId="12" w16cid:durableId="1707828139">
    <w:abstractNumId w:val="0"/>
  </w:num>
  <w:num w:numId="13" w16cid:durableId="1418555315">
    <w:abstractNumId w:val="11"/>
  </w:num>
  <w:num w:numId="14" w16cid:durableId="727529196">
    <w:abstractNumId w:val="5"/>
  </w:num>
  <w:num w:numId="15" w16cid:durableId="1119256406">
    <w:abstractNumId w:val="7"/>
  </w:num>
  <w:num w:numId="16" w16cid:durableId="1305156165">
    <w:abstractNumId w:val="9"/>
  </w:num>
  <w:num w:numId="17" w16cid:durableId="5716236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960FD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3C3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3517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13CC"/>
    <w:rsid w:val="00163585"/>
    <w:rsid w:val="00166D5C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2F04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443D"/>
    <w:rsid w:val="002D71E9"/>
    <w:rsid w:val="002E1D43"/>
    <w:rsid w:val="002E1E66"/>
    <w:rsid w:val="002E34DB"/>
    <w:rsid w:val="002E3E0B"/>
    <w:rsid w:val="002E4401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4EA0"/>
    <w:rsid w:val="003F5852"/>
    <w:rsid w:val="003F7CD1"/>
    <w:rsid w:val="00401CF7"/>
    <w:rsid w:val="00405249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4B8"/>
    <w:rsid w:val="005836FE"/>
    <w:rsid w:val="00584FB2"/>
    <w:rsid w:val="0058558F"/>
    <w:rsid w:val="00586645"/>
    <w:rsid w:val="00586E5E"/>
    <w:rsid w:val="005906DC"/>
    <w:rsid w:val="00590EAB"/>
    <w:rsid w:val="00590F8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9706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418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C85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5CA2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378"/>
    <w:rsid w:val="00863B50"/>
    <w:rsid w:val="00863C1F"/>
    <w:rsid w:val="00865311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20E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34C2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11D5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2669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2F6E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0001"/>
    <w:rsid w:val="00AC0AB6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B39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C7529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483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3122"/>
    <w:rsid w:val="00CB3DD4"/>
    <w:rsid w:val="00CB4E8E"/>
    <w:rsid w:val="00CB5090"/>
    <w:rsid w:val="00CB694A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361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2A2C"/>
    <w:rsid w:val="00DF3032"/>
    <w:rsid w:val="00DF52CF"/>
    <w:rsid w:val="00DF5D97"/>
    <w:rsid w:val="00DF6571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B1E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4B1E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07195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647"/>
    <w:rsid w:val="00FC2E2F"/>
    <w:rsid w:val="00FC35CE"/>
    <w:rsid w:val="00FC387A"/>
    <w:rsid w:val="00FC4A12"/>
    <w:rsid w:val="00FC7587"/>
    <w:rsid w:val="00FD1031"/>
    <w:rsid w:val="00FD14F1"/>
    <w:rsid w:val="00FD1952"/>
    <w:rsid w:val="00FD3273"/>
    <w:rsid w:val="00FD375A"/>
    <w:rsid w:val="00FD4CD0"/>
    <w:rsid w:val="00FD66E2"/>
    <w:rsid w:val="00FE0DAB"/>
    <w:rsid w:val="00FE2805"/>
    <w:rsid w:val="00FE5BE2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03BDA7A-4F91-4571-90F9-4CB790D1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104B Monitoring Order - Serious and Organised Crime (Unexplained Wealth) Act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104B Monitoring Order - Serious and Organised Crime (Unexplained Wealth) Act</dc:title>
  <dc:subject/>
  <dc:creator/>
  <cp:keywords>Forms; Special</cp:keywords>
  <dc:description/>
  <cp:lastModifiedBy/>
  <cp:revision>1</cp:revision>
  <dcterms:created xsi:type="dcterms:W3CDTF">2024-07-17T02:13:00Z</dcterms:created>
  <dcterms:modified xsi:type="dcterms:W3CDTF">2024-07-17T02:13:00Z</dcterms:modified>
</cp:coreProperties>
</file>